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rPr>
          <w:sz w:val="36"/>
          <w:szCs w:val="36"/>
        </w:rPr>
      </w:pPr>
      <w:r>
        <w:rPr>
          <w:sz w:val="36"/>
          <w:szCs w:val="36"/>
        </w:rPr>
        <w:t>пояснительная записка</w:t>
      </w:r>
    </w:p>
    <w:p>
      <w:pPr>
        <w:pStyle w:val="NoSpacing"/>
        <w:jc w:val="center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К </w:t>
      </w:r>
      <w:r>
        <w:rPr>
          <w:rFonts w:cs="Times New Roman" w:ascii="Times New Roman" w:hAnsi="Times New Roman"/>
          <w:sz w:val="24"/>
          <w:szCs w:val="24"/>
        </w:rPr>
        <w:t xml:space="preserve">РЕШЕНИЮ СЕЛЬСКОГО СОВЕТА ДЕПУТАТОВ </w:t>
      </w:r>
      <w:r>
        <w:rPr>
          <w:rFonts w:eastAsia="Calibri" w:cs="Times New Roman" w:ascii="Times New Roman" w:hAnsi="Times New Roman"/>
          <w:sz w:val="24"/>
          <w:szCs w:val="24"/>
        </w:rPr>
        <w:t>«О БЮДЖЕТЕ</w:t>
      </w:r>
      <w:r>
        <w:rPr>
          <w:rFonts w:cs="Times New Roman" w:ascii="Times New Roman" w:hAnsi="Times New Roman"/>
          <w:sz w:val="24"/>
          <w:szCs w:val="24"/>
        </w:rPr>
        <w:t xml:space="preserve"> МУНИЦИПАЛЬНОГО ОБРАЗОВАНИЯ БАЛАХТОНСКИЙ СЕЛЬСОВЕТ</w:t>
      </w:r>
      <w:r>
        <w:rPr>
          <w:rFonts w:eastAsia="Calibri" w:cs="Times New Roman" w:ascii="Times New Roman" w:hAnsi="Times New Roman"/>
          <w:sz w:val="24"/>
          <w:szCs w:val="24"/>
        </w:rPr>
        <w:t xml:space="preserve"> НА </w:t>
      </w:r>
      <w:r>
        <w:rPr>
          <w:rFonts w:eastAsia="Calibri" w:cs="Times New Roman" w:ascii="Times New Roman" w:hAnsi="Times New Roman"/>
          <w:b/>
          <w:sz w:val="24"/>
          <w:szCs w:val="24"/>
        </w:rPr>
        <w:t>2020</w:t>
      </w:r>
      <w:r>
        <w:rPr>
          <w:rFonts w:eastAsia="Calibri" w:cs="Times New Roman" w:ascii="Times New Roman" w:hAnsi="Times New Roman"/>
          <w:sz w:val="24"/>
          <w:szCs w:val="24"/>
        </w:rPr>
        <w:t xml:space="preserve"> ГОД И ПЛАНОВЫЙ ПЕРИОД 2021-2022 ГОДОВ</w:t>
      </w:r>
      <w:r>
        <w:rPr>
          <w:rFonts w:eastAsia="Calibri" w:cs="Times New Roman"/>
          <w:sz w:val="24"/>
          <w:szCs w:val="24"/>
        </w:rPr>
        <w:t>»</w:t>
      </w:r>
    </w:p>
    <w:p>
      <w:pPr>
        <w:pStyle w:val="NoSpacing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Решение  сельского совета депутатов «О бюджете муниципального образования Балахтонский сельсовет на 2020 год и плановый период 2021-2022 годов» (далее – проект решения) подготовлен в соответствии с вступившими в силу изменениями в Бюджетный кодекс Российской Федерации, принципами, сформулированными в Бюджетном послании Президента Российской Федерации о бюджетной политике; основными направлениями бюджетной политики Красноярского края на 2020 год и плановый период 2021-2022 года, налоговая политика Красноярского края на 2020 год и плановый период 2021-2022 года, а так же федеральным и краевым бюджетным, и налоговым законодательством.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Общие требования к структуре и содержанию  о бюджете установлены ст. 184</w:t>
      </w: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cs="Times New Roman" w:ascii="Times New Roman" w:hAnsi="Times New Roman"/>
          <w:sz w:val="28"/>
          <w:szCs w:val="28"/>
        </w:rPr>
        <w:t xml:space="preserve">Бюджетного кодекса Российской Федерации </w:t>
        <w:br/>
        <w:t>и Законом Красноярского края от 18.12.2008 № 7-2617 «О бюджетном процессе в Красноярском крае».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Особенности формирования доходов и расходов местного бюджета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доходов и расходов местного бюджета произведено в соответствии с Приказом Министерства финансов Российской Федерации от 01 июля 2013 года № 65н «Об утверждении Указаний о порядке применения бюджетной классификации Российской Федерации».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Местный бюджет на 2020 год и на плановый период 2020 и 2021 годов сформирован и направлен на: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повышение эффективности бюджетной политики, в том числе за счет роста эффективности бюджетных расходов;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повышение роли бюджетной политики для поддержки экономического роста;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повышение прозрачности и открытости бюджетного процесса.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В бюджете принимаемых обязательств учтены следующие расходы:</w:t>
      </w:r>
    </w:p>
    <w:p>
      <w:pPr>
        <w:pStyle w:val="Style18"/>
        <w:numPr>
          <w:ilvl w:val="0"/>
          <w:numId w:val="0"/>
        </w:numPr>
        <w:tabs>
          <w:tab w:val="clear" w:pos="708"/>
          <w:tab w:val="left" w:pos="0" w:leader="none"/>
        </w:tabs>
        <w:spacing w:before="120" w:after="200"/>
        <w:ind w:left="4320" w:hang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>реализация вновь утверждаемых муниципальных программ:</w:t>
      </w:r>
    </w:p>
    <w:p>
      <w:pPr>
        <w:pStyle w:val="ConsPlusCell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«Комплексные мероприятия по улучшению качества жизни и благосостоянию населения на территории муниципального образования Балахтонский сельсовет Козульского района Красноярского края на 2020-2021 годы»»;</w:t>
      </w:r>
    </w:p>
    <w:p>
      <w:pPr>
        <w:pStyle w:val="ConsPlusCell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«Осуществление переданных полномочий в области культуры, архитектуры и спорта» на 2020-2021 годы.</w:t>
      </w:r>
    </w:p>
    <w:p>
      <w:pPr>
        <w:pStyle w:val="Style18"/>
        <w:numPr>
          <w:ilvl w:val="0"/>
          <w:numId w:val="0"/>
        </w:numPr>
        <w:tabs>
          <w:tab w:val="clear" w:pos="708"/>
          <w:tab w:val="left" w:pos="0" w:leader="none"/>
        </w:tabs>
        <w:spacing w:before="0" w:after="0"/>
        <w:ind w:left="4320" w:hanging="0"/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2) И</w:t>
      </w:r>
      <w:r>
        <w:rPr>
          <w:sz w:val="28"/>
          <w:szCs w:val="28"/>
        </w:rPr>
        <w:t>ндексация расходов:</w:t>
      </w:r>
    </w:p>
    <w:p>
      <w:pPr>
        <w:pStyle w:val="ConsPlusCell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ind w:left="0"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2020 году на </w:t>
      </w:r>
      <w:r>
        <w:rPr>
          <w:rFonts w:cs="Times New Roman" w:ascii="Times New Roman" w:hAnsi="Times New Roman"/>
          <w:sz w:val="28"/>
          <w:szCs w:val="28"/>
        </w:rPr>
        <w:t>3,9</w:t>
      </w:r>
      <w:r>
        <w:rPr>
          <w:rFonts w:cs="Times New Roman" w:ascii="Times New Roman" w:hAnsi="Times New Roman"/>
          <w:sz w:val="28"/>
          <w:szCs w:val="28"/>
        </w:rPr>
        <w:t>% услуг связи;</w:t>
      </w:r>
    </w:p>
    <w:p>
      <w:pPr>
        <w:pStyle w:val="ConsPlusCell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ind w:left="0"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2020 году на 5,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% энергосбережение;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и другие;</w:t>
      </w:r>
    </w:p>
    <w:p>
      <w:pPr>
        <w:pStyle w:val="Style17"/>
        <w:spacing w:before="0" w:after="0"/>
        <w:rPr>
          <w:szCs w:val="28"/>
        </w:rPr>
      </w:pPr>
      <w:r>
        <w:rPr>
          <w:szCs w:val="28"/>
        </w:rPr>
        <w:t>Решение предусматривает детализированную структуру расходов местного бюджета на три года.</w:t>
      </w:r>
    </w:p>
    <w:p>
      <w:pPr>
        <w:pStyle w:val="Style17"/>
        <w:spacing w:before="120" w:after="200"/>
        <w:jc w:val="center"/>
        <w:rPr>
          <w:b/>
          <w:b/>
          <w:i/>
          <w:i/>
          <w:szCs w:val="28"/>
        </w:rPr>
      </w:pPr>
      <w:r>
        <w:rPr>
          <w:b/>
          <w:i/>
          <w:szCs w:val="28"/>
        </w:rPr>
      </w:r>
    </w:p>
    <w:p>
      <w:pPr>
        <w:pStyle w:val="Style17"/>
        <w:spacing w:before="120" w:after="200"/>
        <w:jc w:val="center"/>
        <w:rPr>
          <w:b/>
          <w:b/>
          <w:i/>
          <w:i/>
          <w:szCs w:val="28"/>
        </w:rPr>
      </w:pPr>
      <w:r>
        <w:rPr>
          <w:b/>
          <w:i/>
          <w:szCs w:val="28"/>
        </w:rPr>
        <w:t>Параметры местного бюджета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2020 год и плановый период 2021-2022 годов сформированы следующие параметры местного бюджета:</w:t>
      </w:r>
    </w:p>
    <w:p>
      <w:pPr>
        <w:pStyle w:val="Style17"/>
        <w:numPr>
          <w:ilvl w:val="0"/>
          <w:numId w:val="3"/>
        </w:numPr>
        <w:tabs>
          <w:tab w:val="clear" w:pos="708"/>
          <w:tab w:val="left" w:pos="0" w:leader="none"/>
        </w:tabs>
        <w:ind w:left="0" w:firstLine="851"/>
        <w:rPr>
          <w:szCs w:val="28"/>
        </w:rPr>
      </w:pPr>
      <w:r>
        <w:rPr>
          <w:szCs w:val="28"/>
        </w:rPr>
        <w:t>прогнозируемый общий объем доходов местного бюджета на три года определяется в сумме 23 204 062,22 рублей;</w:t>
      </w:r>
    </w:p>
    <w:p>
      <w:pPr>
        <w:pStyle w:val="Style17"/>
        <w:numPr>
          <w:ilvl w:val="0"/>
          <w:numId w:val="3"/>
        </w:numPr>
        <w:tabs>
          <w:tab w:val="clear" w:pos="708"/>
          <w:tab w:val="left" w:pos="0" w:leader="none"/>
        </w:tabs>
        <w:ind w:left="0" w:firstLine="851"/>
        <w:rPr>
          <w:szCs w:val="28"/>
        </w:rPr>
      </w:pPr>
      <w:r>
        <w:rPr>
          <w:szCs w:val="28"/>
        </w:rPr>
        <w:t>общий объем расходов на три года составляет 23 204 062,22 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параметры бюджета по годам выглядят следующим образом: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274873809"/>
      <w:bookmarkStart w:id="1" w:name="_Toc274767144"/>
      <w:bookmarkStart w:id="2" w:name="_Toc243287427"/>
      <w:bookmarkStart w:id="3" w:name="_Toc243235529"/>
      <w:bookmarkStart w:id="4" w:name="_Toc243235375"/>
      <w:r>
        <w:rPr>
          <w:rFonts w:cs="Times New Roman" w:ascii="Times New Roman" w:hAnsi="Times New Roman"/>
          <w:sz w:val="28"/>
          <w:szCs w:val="28"/>
        </w:rPr>
        <w:t>Таблица 1</w:t>
      </w:r>
      <w:bookmarkEnd w:id="0"/>
      <w:bookmarkEnd w:id="1"/>
      <w:bookmarkEnd w:id="2"/>
      <w:bookmarkEnd w:id="3"/>
      <w:bookmarkEnd w:id="4"/>
    </w:p>
    <w:p>
      <w:pPr>
        <w:pStyle w:val="NoSpacing"/>
        <w:jc w:val="right"/>
        <w:rPr/>
      </w:pPr>
      <w:bookmarkStart w:id="5" w:name="_Toc274873810"/>
      <w:r>
        <w:rPr/>
        <w:t>( рублей</w:t>
      </w:r>
      <w:bookmarkEnd w:id="5"/>
      <w:r>
        <w:rPr/>
        <w:t>)</w:t>
      </w:r>
    </w:p>
    <w:tbl>
      <w:tblPr>
        <w:tblW w:w="9923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480"/>
        <w:gridCol w:w="2481"/>
        <w:gridCol w:w="2480"/>
        <w:gridCol w:w="2481"/>
      </w:tblGrid>
      <w:tr>
        <w:trPr>
          <w:tblHeader w:val="true"/>
          <w:trHeight w:val="450" w:hRule="atLeast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6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bookmarkStart w:id="6" w:name="_Toc274873811"/>
            <w:bookmarkStart w:id="7" w:name="_Toc274767145"/>
            <w:bookmarkStart w:id="8" w:name="_Toc243287428"/>
            <w:bookmarkStart w:id="9" w:name="_Toc243235530"/>
            <w:bookmarkStart w:id="10" w:name="_Toc243235376"/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2020 год</w:t>
            </w:r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1" w:name="_Toc274873812"/>
            <w:bookmarkStart w:id="12" w:name="_Toc274767146"/>
            <w:bookmarkStart w:id="13" w:name="_Toc243287429"/>
            <w:bookmarkStart w:id="14" w:name="_Toc243235531"/>
            <w:bookmarkStart w:id="15" w:name="_Toc243235377"/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го</w:t>
            </w:r>
            <w:bookmarkEnd w:id="12"/>
            <w:bookmarkEnd w:id="13"/>
            <w:bookmarkEnd w:id="14"/>
            <w:bookmarkEnd w:id="15"/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д</w:t>
            </w:r>
            <w:bookmarkEnd w:id="11"/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6" w:name="_Toc274767147"/>
            <w:bookmarkStart w:id="17" w:name="_Toc243287430"/>
            <w:bookmarkStart w:id="18" w:name="_Toc243235532"/>
            <w:bookmarkStart w:id="19" w:name="_Toc243235378"/>
            <w:bookmarkStart w:id="20" w:name="_Toc274873813"/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  <w:bookmarkEnd w:id="16"/>
            <w:bookmarkEnd w:id="17"/>
            <w:bookmarkEnd w:id="18"/>
            <w:bookmarkEnd w:id="19"/>
            <w:bookmarkEnd w:id="20"/>
          </w:p>
        </w:tc>
      </w:tr>
      <w:tr>
        <w:trPr>
          <w:trHeight w:val="414" w:hRule="atLeast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ind w:firstLine="6"/>
              <w:jc w:val="center"/>
              <w:rPr>
                <w:rFonts w:ascii="Times New Roman" w:hAnsi="Times New Roman" w:cs="Times New Roman"/>
                <w:b/>
                <w:b/>
                <w:bCs/>
                <w:szCs w:val="28"/>
              </w:rPr>
            </w:pPr>
            <w:bookmarkStart w:id="21" w:name="_Toc274873814"/>
            <w:bookmarkStart w:id="22" w:name="_Toc274767148"/>
            <w:bookmarkStart w:id="23" w:name="_Toc243287431"/>
            <w:bookmarkStart w:id="24" w:name="_Toc243235533"/>
            <w:bookmarkStart w:id="25" w:name="_Toc243235379"/>
            <w:r>
              <w:rPr>
                <w:rFonts w:cs="Times New Roman" w:ascii="Times New Roman" w:hAnsi="Times New Roman"/>
                <w:b/>
                <w:bCs/>
                <w:szCs w:val="28"/>
              </w:rPr>
              <w:t>Доходы</w:t>
            </w:r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6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szCs w:val="28"/>
              </w:rPr>
              <w:t>10 379 454,0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6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szCs w:val="28"/>
              </w:rPr>
              <w:t>8 638 370,00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6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szCs w:val="28"/>
              </w:rPr>
              <w:t>7 343 992,00</w:t>
            </w:r>
          </w:p>
        </w:tc>
      </w:tr>
      <w:tr>
        <w:trPr>
          <w:trHeight w:val="611" w:hRule="atLeast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ind w:firstLine="6"/>
              <w:jc w:val="center"/>
              <w:rPr>
                <w:rFonts w:ascii="Times New Roman" w:hAnsi="Times New Roman" w:cs="Times New Roman"/>
                <w:b/>
                <w:b/>
                <w:bCs/>
                <w:szCs w:val="28"/>
              </w:rPr>
            </w:pPr>
            <w:bookmarkStart w:id="26" w:name="_Toc274873818"/>
            <w:bookmarkStart w:id="27" w:name="_Toc274767152"/>
            <w:bookmarkStart w:id="28" w:name="_Toc243287432"/>
            <w:bookmarkStart w:id="29" w:name="_Toc243235534"/>
            <w:bookmarkStart w:id="30" w:name="_Toc243235380"/>
            <w:r>
              <w:rPr>
                <w:rFonts w:cs="Times New Roman" w:ascii="Times New Roman" w:hAnsi="Times New Roman"/>
                <w:b/>
                <w:bCs/>
                <w:szCs w:val="28"/>
              </w:rPr>
              <w:t>Расходы</w:t>
            </w:r>
            <w:bookmarkEnd w:id="26"/>
            <w:bookmarkEnd w:id="27"/>
            <w:bookmarkEnd w:id="28"/>
            <w:bookmarkEnd w:id="29"/>
            <w:bookmarkEnd w:id="30"/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6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szCs w:val="28"/>
              </w:rPr>
              <w:t>10 379 454,00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6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szCs w:val="28"/>
              </w:rPr>
              <w:t>8 638 370,00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6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szCs w:val="28"/>
              </w:rPr>
              <w:t>7 343 992,00</w:t>
            </w:r>
          </w:p>
        </w:tc>
      </w:tr>
      <w:tr>
        <w:trPr>
          <w:trHeight w:val="291" w:hRule="atLeast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ind w:firstLine="6"/>
              <w:jc w:val="center"/>
              <w:rPr>
                <w:rFonts w:ascii="Times New Roman" w:hAnsi="Times New Roman" w:cs="Times New Roman"/>
                <w:b/>
                <w:b/>
                <w:bCs/>
                <w:szCs w:val="28"/>
              </w:rPr>
            </w:pPr>
            <w:bookmarkStart w:id="31" w:name="_Toc274873822"/>
            <w:bookmarkStart w:id="32" w:name="_Toc274767156"/>
            <w:bookmarkStart w:id="33" w:name="_Toc243287433"/>
            <w:bookmarkStart w:id="34" w:name="_Toc243235535"/>
            <w:bookmarkStart w:id="35" w:name="_Toc243235381"/>
            <w:r>
              <w:rPr>
                <w:rFonts w:cs="Times New Roman" w:ascii="Times New Roman" w:hAnsi="Times New Roman"/>
                <w:b/>
                <w:bCs/>
                <w:szCs w:val="28"/>
              </w:rPr>
              <w:t>Дефицит</w:t>
            </w:r>
            <w:bookmarkEnd w:id="31"/>
            <w:bookmarkEnd w:id="32"/>
            <w:bookmarkEnd w:id="33"/>
            <w:bookmarkEnd w:id="34"/>
            <w:bookmarkEnd w:id="35"/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6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Cs w:val="28"/>
              </w:rPr>
              <w:t>0,00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6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Cs w:val="28"/>
              </w:rPr>
              <w:t>0,00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6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Cs w:val="28"/>
              </w:rPr>
              <w:t>0,00</w:t>
            </w:r>
          </w:p>
        </w:tc>
      </w:tr>
    </w:tbl>
    <w:p>
      <w:pPr>
        <w:pStyle w:val="1"/>
        <w:spacing w:lineRule="auto" w:line="264" w:before="0" w:after="200"/>
        <w:jc w:val="center"/>
        <w:rPr>
          <w:sz w:val="32"/>
        </w:rPr>
      </w:pPr>
      <w:r>
        <w:rPr>
          <w:sz w:val="32"/>
        </w:rPr>
        <w:t xml:space="preserve">1. ДОХОДЫ МЕСТНОГО БЮДЖЕТА на 2020 год </w:t>
        <w:br/>
        <w:t>и плановый период 2021-2022 годов</w:t>
      </w:r>
    </w:p>
    <w:p>
      <w:pPr>
        <w:pStyle w:val="2"/>
        <w:numPr>
          <w:ilvl w:val="1"/>
          <w:numId w:val="4"/>
        </w:numPr>
        <w:spacing w:before="0" w:after="120"/>
        <w:jc w:val="both"/>
        <w:rPr>
          <w:sz w:val="32"/>
          <w:szCs w:val="32"/>
        </w:rPr>
      </w:pPr>
      <w:bookmarkStart w:id="36" w:name="_Toc369530770"/>
      <w:bookmarkStart w:id="37" w:name="_Toc369292225"/>
      <w:bookmarkStart w:id="38" w:name="_Toc337909484"/>
      <w:bookmarkStart w:id="39" w:name="_Toc306095230"/>
      <w:bookmarkStart w:id="40" w:name="_Toc274756242"/>
      <w:bookmarkStart w:id="41" w:name="_Toc243212862"/>
      <w:bookmarkStart w:id="42" w:name="_Toc211614068"/>
      <w:r>
        <w:rPr>
          <w:sz w:val="32"/>
          <w:szCs w:val="32"/>
        </w:rPr>
        <w:t>Прогноз объема доходов местного бюджета на 2020 год и плановый период 2020- 2021 годов</w:t>
      </w:r>
      <w:bookmarkEnd w:id="36"/>
      <w:bookmarkEnd w:id="37"/>
      <w:bookmarkEnd w:id="38"/>
      <w:bookmarkEnd w:id="39"/>
      <w:bookmarkEnd w:id="40"/>
      <w:bookmarkEnd w:id="41"/>
      <w:bookmarkEnd w:id="42"/>
    </w:p>
    <w:p>
      <w:pPr>
        <w:pStyle w:val="Normal"/>
        <w:spacing w:lineRule="auto" w:line="240" w:before="0" w:after="0"/>
        <w:jc w:val="both"/>
        <w:rPr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При расчете объема доходов местного бюджета учитывались принятые и предполагаемые к принятию изменения и дополнения в законодательство Российской Федерации (далее – РФ) о налогах и сборах и бюджетное законодательство, основные направления бюджетной и налоговой политики РФ и Красноярского края на 2020 год и плановый период 2020 и 2021 годов</w:t>
      </w:r>
      <w:r>
        <w:rPr/>
        <w:t>:</w:t>
      </w:r>
    </w:p>
    <w:p>
      <w:pPr>
        <w:pStyle w:val="Normal"/>
        <w:numPr>
          <w:ilvl w:val="0"/>
          <w:numId w:val="5"/>
        </w:numPr>
        <w:tabs>
          <w:tab w:val="clear" w:pos="708"/>
        </w:tabs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отношении акцизов: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- установлена обязанность органов государственной власти субъектов РФ передать по дифференцированным нормативам отчислений в местные бюджеты акцизы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исходя из зачисления в местные бюджеты не менее 10 процентов налоговых доходов консолидированного бюджета субъекта РФ от указанного налога.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Изменения порядка распределения данного акциза приведет к увеличению доходов в 2020 году на </w:t>
      </w:r>
      <w:r>
        <w:rPr>
          <w:rFonts w:cs="Times New Roman" w:ascii="Times New Roman" w:hAnsi="Times New Roman"/>
          <w:sz w:val="28"/>
          <w:szCs w:val="28"/>
        </w:rPr>
        <w:t>136,1</w:t>
      </w:r>
      <w:r>
        <w:rPr>
          <w:rFonts w:cs="Times New Roman" w:ascii="Times New Roman" w:hAnsi="Times New Roman"/>
          <w:sz w:val="28"/>
          <w:szCs w:val="28"/>
        </w:rPr>
        <w:t> тыс. руб., в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</w:rPr>
        <w:t>140,92</w:t>
      </w:r>
      <w:r>
        <w:rPr>
          <w:rFonts w:cs="Times New Roman" w:ascii="Times New Roman" w:hAnsi="Times New Roman"/>
          <w:sz w:val="28"/>
          <w:szCs w:val="28"/>
        </w:rPr>
        <w:t xml:space="preserve"> тыс. руб., в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</w:rPr>
        <w:t>146,72</w:t>
      </w:r>
      <w:r>
        <w:rPr>
          <w:rFonts w:cs="Times New Roman" w:ascii="Times New Roman" w:hAnsi="Times New Roman"/>
          <w:sz w:val="28"/>
          <w:szCs w:val="28"/>
        </w:rPr>
        <w:t xml:space="preserve"> тыс. руб.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Доходы местного бюджета 2020 года прогнозируются в объеме </w:t>
      </w:r>
      <w:r>
        <w:rPr>
          <w:rFonts w:cs="Times New Roman" w:ascii="Times New Roman" w:hAnsi="Times New Roman"/>
          <w:b/>
          <w:bCs/>
          <w:iCs/>
          <w:sz w:val="28"/>
          <w:szCs w:val="28"/>
        </w:rPr>
        <w:t xml:space="preserve">10 379 454,0 </w:t>
      </w:r>
      <w:r>
        <w:rPr>
          <w:rFonts w:cs="Times New Roman" w:ascii="Times New Roman" w:hAnsi="Times New Roman"/>
          <w:sz w:val="28"/>
          <w:szCs w:val="28"/>
        </w:rPr>
        <w:t xml:space="preserve">рублей. В структуре доходов местного бюджета поступление налоговых и неналоговых доходов прогнозируется в сумме </w:t>
      </w:r>
      <w:r>
        <w:rPr>
          <w:rFonts w:cs="Times New Roman" w:ascii="Times New Roman" w:hAnsi="Times New Roman"/>
          <w:sz w:val="28"/>
          <w:szCs w:val="28"/>
        </w:rPr>
        <w:t>557 310,00</w:t>
      </w:r>
      <w:r>
        <w:rPr>
          <w:rFonts w:cs="Times New Roman" w:ascii="Times New Roman" w:hAnsi="Times New Roman"/>
          <w:sz w:val="28"/>
          <w:szCs w:val="28"/>
        </w:rPr>
        <w:t xml:space="preserve"> рублей (</w:t>
      </w:r>
      <w:r>
        <w:rPr>
          <w:rFonts w:cs="Times New Roman" w:ascii="Times New Roman" w:hAnsi="Times New Roman"/>
          <w:sz w:val="28"/>
          <w:szCs w:val="28"/>
        </w:rPr>
        <w:t>5,37</w:t>
      </w:r>
      <w:r>
        <w:rPr>
          <w:rFonts w:cs="Times New Roman" w:ascii="Times New Roman" w:hAnsi="Times New Roman"/>
          <w:sz w:val="28"/>
          <w:szCs w:val="28"/>
        </w:rPr>
        <w:t xml:space="preserve"> % от общей суммы доходов), безвозмездных поступлений – в сумме </w:t>
      </w:r>
      <w:r>
        <w:rPr>
          <w:rFonts w:cs="Times New Roman" w:ascii="Times New Roman" w:hAnsi="Times New Roman"/>
          <w:sz w:val="28"/>
          <w:szCs w:val="28"/>
        </w:rPr>
        <w:t>9 822 144,00</w:t>
      </w:r>
      <w:bookmarkStart w:id="43" w:name="_Toc369530771"/>
      <w:bookmarkStart w:id="44" w:name="_Toc369292226"/>
      <w:bookmarkStart w:id="45" w:name="_Toc337909485"/>
      <w:bookmarkStart w:id="46" w:name="_Toc306095231"/>
      <w:bookmarkStart w:id="47" w:name="_Toc274756243"/>
      <w:bookmarkStart w:id="48" w:name="_Toc243212863"/>
      <w:bookmarkStart w:id="49" w:name="_Toc211614069"/>
      <w:r>
        <w:rPr>
          <w:rFonts w:cs="Times New Roman" w:ascii="Times New Roman" w:hAnsi="Times New Roman"/>
          <w:sz w:val="28"/>
          <w:szCs w:val="28"/>
        </w:rPr>
        <w:t xml:space="preserve"> рублей.</w:t>
      </w:r>
    </w:p>
    <w:p>
      <w:pPr>
        <w:pStyle w:val="2"/>
        <w:rPr/>
      </w:pPr>
      <w:r>
        <w:rPr>
          <w:sz w:val="32"/>
          <w:szCs w:val="32"/>
        </w:rPr>
        <w:t>1.2. Особенности  расчетов  поступлений платежей в местный  бюджет по доходным источникам на 2020 год и плановый период 202</w:t>
      </w:r>
      <w:r>
        <w:rPr>
          <w:sz w:val="32"/>
          <w:szCs w:val="32"/>
        </w:rPr>
        <w:t>1</w:t>
      </w:r>
      <w:r>
        <w:rPr>
          <w:sz w:val="32"/>
          <w:szCs w:val="32"/>
        </w:rPr>
        <w:t xml:space="preserve"> - 202</w:t>
      </w: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 годов</w:t>
      </w:r>
      <w:bookmarkEnd w:id="43"/>
      <w:bookmarkEnd w:id="44"/>
      <w:bookmarkEnd w:id="45"/>
      <w:bookmarkEnd w:id="46"/>
      <w:bookmarkEnd w:id="47"/>
      <w:bookmarkEnd w:id="48"/>
      <w:bookmarkEnd w:id="49"/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</w:rPr>
        <w:t xml:space="preserve">Расчеты и обоснования сумм доходов бюджета произведены на основании </w:t>
      </w:r>
      <w:r>
        <w:rPr>
          <w:rFonts w:cs="Times New Roman" w:ascii="Times New Roman" w:hAnsi="Times New Roman"/>
          <w:sz w:val="28"/>
          <w:szCs w:val="28"/>
        </w:rPr>
        <w:t>прогнозов поступления доходов, аналитических материалов по исполнению бюджета.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Налог на доходы физических лиц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Расчет суммы налога на доходы физических лиц произведен в соответствии с действующим налоговым и бюджетным законодательством с учетом: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проекта закона Красноярского края «О внесении изменений в Закон края «О межбюджетных отношениях в Красноярском крае» и отдельные законы края» (в целях сохранения доходов местных бюджетов под влиянием изменения федерального законодательства, предусматривающего перераспределение 5 процентов от налога на доходы физических лиц из местных бюджетов в бюджеты субъектов Российской Федерации увеличен с 10 до 15 процентов норматив отчислений от доходов краевого бюджета по налогу на доходы физических лиц в бюджеты муниципальных районов и городских округов, отменен единый норматив отчисления от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РФ трудовой деятельности на основании патента, в бюджеты муниципальных районов и городских округов).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Прогноз поступления налога произведен на основании оценки исполнения 201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</w:rPr>
        <w:t> года с учетом ежегодного роста на индекс потребительских цен. Расчет прогноза на 2020-202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года произведен исходя из оценки ожидаемого исполнения 201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</w:rPr>
        <w:t xml:space="preserve"> года, осуществленной на основе отчетных данных УФНС по краю по форме №5-МН «Отчет о налоговой базе и структуре начислений по местным налогам».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Поступление налога на доходы физических лиц на 2020 год  прогнозируется в сумме </w:t>
      </w:r>
      <w:r>
        <w:rPr>
          <w:rFonts w:cs="Times New Roman" w:ascii="Times New Roman" w:hAnsi="Times New Roman"/>
          <w:sz w:val="28"/>
          <w:szCs w:val="28"/>
        </w:rPr>
        <w:t>90,31</w:t>
      </w:r>
      <w:r>
        <w:rPr>
          <w:rFonts w:cs="Times New Roman" w:ascii="Times New Roman" w:hAnsi="Times New Roman"/>
          <w:sz w:val="28"/>
          <w:szCs w:val="28"/>
        </w:rPr>
        <w:t> тыс. рублей. Поступление налога на доходы физических лиц на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 год прогнозируется в сумме </w:t>
      </w:r>
      <w:r>
        <w:rPr>
          <w:rFonts w:cs="Times New Roman" w:ascii="Times New Roman" w:hAnsi="Times New Roman"/>
          <w:sz w:val="28"/>
          <w:szCs w:val="28"/>
        </w:rPr>
        <w:t>100,32</w:t>
      </w:r>
      <w:r>
        <w:rPr>
          <w:rFonts w:cs="Times New Roman" w:ascii="Times New Roman" w:hAnsi="Times New Roman"/>
          <w:sz w:val="28"/>
          <w:szCs w:val="28"/>
        </w:rPr>
        <w:t xml:space="preserve">  тыс. рублей. Поступление налога на доходы физических лиц на 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 год прогнозируется в сумме </w:t>
      </w:r>
      <w:r>
        <w:rPr>
          <w:rFonts w:cs="Times New Roman" w:ascii="Times New Roman" w:hAnsi="Times New Roman"/>
          <w:sz w:val="28"/>
          <w:szCs w:val="28"/>
        </w:rPr>
        <w:t>108,33</w:t>
      </w:r>
      <w:r>
        <w:rPr>
          <w:rFonts w:cs="Times New Roman" w:ascii="Times New Roman" w:hAnsi="Times New Roman"/>
          <w:sz w:val="28"/>
          <w:szCs w:val="28"/>
        </w:rPr>
        <w:t xml:space="preserve"> тыс. рублей. </w:t>
      </w:r>
    </w:p>
    <w:p>
      <w:pPr>
        <w:pStyle w:val="3"/>
        <w:ind w:hanging="0"/>
        <w:jc w:val="center"/>
        <w:rPr>
          <w:spacing w:val="4"/>
        </w:rPr>
      </w:pPr>
      <w:bookmarkStart w:id="50" w:name="_Toc369530774"/>
      <w:bookmarkStart w:id="51" w:name="_Toc369292229"/>
      <w:bookmarkStart w:id="52" w:name="_Toc337909488"/>
      <w:bookmarkStart w:id="53" w:name="_Toc306095234"/>
      <w:bookmarkStart w:id="54" w:name="_Toc274756246"/>
      <w:bookmarkStart w:id="55" w:name="_Toc274130218"/>
      <w:bookmarkStart w:id="56" w:name="_Toc243212866"/>
      <w:bookmarkStart w:id="57" w:name="_Toc211614078"/>
      <w:bookmarkStart w:id="58" w:name="_Toc211339770"/>
      <w:r>
        <w:rPr>
          <w:spacing w:val="4"/>
        </w:rPr>
        <w:t>Акцизы по подакцизным товарам (продукции), производимым на территории Российской Федерации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Расчет суммы акцизов произведен в соответствии с действующим налоговым и бюджетным законодательством с учетом изменений, предусмотренных: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Поступление акцизов на 2020 год прогнозируется в сумме </w:t>
      </w:r>
      <w:r>
        <w:rPr>
          <w:rFonts w:cs="Times New Roman" w:ascii="Times New Roman" w:hAnsi="Times New Roman"/>
          <w:sz w:val="28"/>
          <w:szCs w:val="28"/>
        </w:rPr>
        <w:t>136,10</w:t>
      </w:r>
      <w:r>
        <w:rPr>
          <w:rFonts w:cs="Times New Roman" w:ascii="Times New Roman" w:hAnsi="Times New Roman"/>
          <w:sz w:val="28"/>
          <w:szCs w:val="28"/>
        </w:rPr>
        <w:t> тыс. рублей, в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году – </w:t>
      </w:r>
      <w:r>
        <w:rPr>
          <w:rFonts w:cs="Times New Roman" w:ascii="Times New Roman" w:hAnsi="Times New Roman"/>
          <w:sz w:val="28"/>
          <w:szCs w:val="28"/>
        </w:rPr>
        <w:t>140,92</w:t>
      </w:r>
      <w:r>
        <w:rPr>
          <w:rFonts w:cs="Times New Roman" w:ascii="Times New Roman" w:hAnsi="Times New Roman"/>
          <w:sz w:val="28"/>
          <w:szCs w:val="28"/>
        </w:rPr>
        <w:t xml:space="preserve"> тыс. руб., в 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году – </w:t>
      </w:r>
      <w:r>
        <w:rPr>
          <w:rFonts w:cs="Times New Roman" w:ascii="Times New Roman" w:hAnsi="Times New Roman"/>
          <w:sz w:val="28"/>
          <w:szCs w:val="28"/>
        </w:rPr>
        <w:t>146,72</w:t>
      </w:r>
      <w:r>
        <w:rPr>
          <w:rFonts w:cs="Times New Roman" w:ascii="Times New Roman" w:hAnsi="Times New Roman"/>
          <w:sz w:val="28"/>
          <w:szCs w:val="28"/>
        </w:rPr>
        <w:t> тыс. рублей.</w:t>
      </w:r>
    </w:p>
    <w:p>
      <w:pPr>
        <w:pStyle w:val="3"/>
        <w:ind w:hanging="0"/>
        <w:jc w:val="center"/>
        <w:rPr>
          <w:spacing w:val="4"/>
        </w:rPr>
      </w:pPr>
      <w:bookmarkStart w:id="59" w:name="_Toc369530777"/>
      <w:bookmarkStart w:id="60" w:name="_Toc369292232"/>
      <w:bookmarkStart w:id="61" w:name="_Toc337909491"/>
      <w:bookmarkStart w:id="62" w:name="_Toc306095237"/>
      <w:bookmarkStart w:id="63" w:name="_Toc274756249"/>
      <w:bookmarkStart w:id="64" w:name="_Toc243212869"/>
      <w:r>
        <w:rPr>
          <w:spacing w:val="4"/>
        </w:rPr>
        <w:t>Налог на имущество</w:t>
      </w:r>
      <w:bookmarkEnd w:id="59"/>
      <w:bookmarkEnd w:id="60"/>
      <w:bookmarkEnd w:id="61"/>
      <w:bookmarkEnd w:id="62"/>
      <w:bookmarkEnd w:id="63"/>
      <w:bookmarkEnd w:id="64"/>
      <w:r>
        <w:rPr>
          <w:spacing w:val="4"/>
        </w:rPr>
        <w:t xml:space="preserve"> физических лиц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Расчет налога на имущество физических лиц на 2020-202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годы произведен с учетом основных направлений налоговой политики Красноярского края на 20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год и на плановый период 202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годов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предусматривающих переход на территории Красноярского края с 1 января 201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года на исчисление налога на имущество физических лиц исходя из кадастровой стоимости объектов налогообложения.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связи с введением с 2020 года нового порядка исчисления налога на имущество физических лиц, представительные органы городских округов, муниципальных районов (в отношении межселенных территорий), городских и сельских поселений должны принять и официально опубликовать нормативные правовые акты о введении налога на имущество физических лиц исходя из кадастровой стоимости объектов налогообложения не позднее 30 ноября 201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года. Согласно нормам статьи 5 НК РФ акты законодательства о налогах вступают в силу не ранее чем по истечении одного месяца со дня их официального опубликования и не ранее 1-го числа очередного налогового периода по соответствующему налогу.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pacing w:val="4"/>
          <w:sz w:val="28"/>
          <w:szCs w:val="28"/>
        </w:rPr>
        <w:t xml:space="preserve">Поступление налога на имущество на 2020 год прогнозируется в сумме </w:t>
      </w:r>
      <w:r>
        <w:rPr>
          <w:rFonts w:cs="Times New Roman" w:ascii="Times New Roman" w:hAnsi="Times New Roman"/>
          <w:spacing w:val="4"/>
          <w:sz w:val="28"/>
          <w:szCs w:val="28"/>
        </w:rPr>
        <w:t>80</w:t>
      </w:r>
      <w:r>
        <w:rPr>
          <w:rFonts w:cs="Times New Roman" w:ascii="Times New Roman" w:hAnsi="Times New Roman"/>
          <w:spacing w:val="4"/>
          <w:sz w:val="28"/>
          <w:szCs w:val="28"/>
        </w:rPr>
        <w:t xml:space="preserve"> тыс. рублей. 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Поступление налога на имущество на 202</w:t>
      </w:r>
      <w:r>
        <w:rPr>
          <w:rFonts w:cs="Times New Roman" w:ascii="Times New Roman" w:hAnsi="Times New Roman"/>
          <w:spacing w:val="4"/>
          <w:sz w:val="28"/>
          <w:szCs w:val="28"/>
        </w:rPr>
        <w:t>1</w:t>
      </w:r>
      <w:r>
        <w:rPr>
          <w:rFonts w:cs="Times New Roman" w:ascii="Times New Roman" w:hAnsi="Times New Roman"/>
          <w:spacing w:val="4"/>
          <w:sz w:val="28"/>
          <w:szCs w:val="28"/>
        </w:rPr>
        <w:t xml:space="preserve"> год – </w:t>
      </w:r>
      <w:r>
        <w:rPr>
          <w:rFonts w:cs="Times New Roman" w:ascii="Times New Roman" w:hAnsi="Times New Roman"/>
          <w:spacing w:val="4"/>
          <w:sz w:val="28"/>
          <w:szCs w:val="28"/>
        </w:rPr>
        <w:t>85</w:t>
      </w:r>
      <w:r>
        <w:rPr>
          <w:rFonts w:cs="Times New Roman" w:ascii="Times New Roman" w:hAnsi="Times New Roman"/>
          <w:spacing w:val="4"/>
          <w:sz w:val="28"/>
          <w:szCs w:val="28"/>
        </w:rPr>
        <w:t xml:space="preserve">,0 тыс. рублей, на </w:t>
      </w:r>
      <w:r>
        <w:rPr>
          <w:rFonts w:cs="Times New Roman" w:ascii="Times New Roman" w:hAnsi="Times New Roman"/>
          <w:bCs/>
          <w:spacing w:val="4"/>
          <w:sz w:val="28"/>
          <w:szCs w:val="28"/>
        </w:rPr>
        <w:t>202</w:t>
      </w:r>
      <w:r>
        <w:rPr>
          <w:rFonts w:cs="Times New Roman" w:ascii="Times New Roman" w:hAnsi="Times New Roman"/>
          <w:bCs/>
          <w:spacing w:val="4"/>
          <w:sz w:val="28"/>
          <w:szCs w:val="28"/>
        </w:rPr>
        <w:t>2</w:t>
      </w:r>
      <w:r>
        <w:rPr>
          <w:rFonts w:cs="Times New Roman" w:ascii="Times New Roman" w:hAnsi="Times New Roman"/>
          <w:bCs/>
          <w:spacing w:val="4"/>
          <w:sz w:val="28"/>
          <w:szCs w:val="28"/>
        </w:rPr>
        <w:t> год –</w:t>
      </w:r>
      <w:r>
        <w:rPr>
          <w:rFonts w:cs="Times New Roman" w:ascii="Times New Roman" w:hAnsi="Times New Roman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90</w:t>
      </w:r>
      <w:r>
        <w:rPr>
          <w:rFonts w:cs="Times New Roman" w:ascii="Times New Roman" w:hAnsi="Times New Roman"/>
          <w:spacing w:val="4"/>
          <w:sz w:val="28"/>
          <w:szCs w:val="28"/>
        </w:rPr>
        <w:t>,0 тыс. рублей.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65" w:name="_Toc369530769"/>
      <w:bookmarkStart w:id="66" w:name="_Toc337909483"/>
      <w:bookmarkStart w:id="67" w:name="_Toc211614067"/>
      <w:bookmarkStart w:id="68" w:name="_Toc148280017"/>
      <w:bookmarkStart w:id="69" w:name="_Toc148279882"/>
      <w:bookmarkStart w:id="70" w:name="_Toc148262144"/>
      <w:bookmarkStart w:id="71" w:name="_Toc148261009"/>
      <w:bookmarkStart w:id="72" w:name="_Toc148260930"/>
      <w:bookmarkStart w:id="73" w:name="_Toc117051443"/>
      <w:bookmarkStart w:id="74" w:name="_Toc11699470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>
        <w:rPr>
          <w:rFonts w:cs="Times New Roman" w:ascii="Times New Roman" w:hAnsi="Times New Roman"/>
          <w:b/>
          <w:sz w:val="28"/>
          <w:szCs w:val="28"/>
        </w:rPr>
        <w:t>Земельный налог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Прогноз поступлений земельного налога на 2020 год в сумме 245,0 тыс. рублей.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Поступление земельного налога на 2020 год прогнозируется в сумме 247,0 тыс. рублей, на 2021 год – 249,0 тыс. руб.</w:t>
      </w:r>
    </w:p>
    <w:p>
      <w:pPr>
        <w:pStyle w:val="2"/>
        <w:rPr/>
      </w:pPr>
      <w:bookmarkStart w:id="75" w:name="_Toc369530798"/>
      <w:bookmarkStart w:id="76" w:name="_Toc369292252"/>
      <w:bookmarkStart w:id="77" w:name="_Toc337909512"/>
      <w:r>
        <w:rPr/>
        <w:t>Безвозмездные поступления</w:t>
      </w:r>
      <w:bookmarkEnd w:id="75"/>
      <w:bookmarkEnd w:id="76"/>
      <w:bookmarkEnd w:id="77"/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Безвозмездные поступления на 2020 год прогнозируются в сумме </w:t>
      </w:r>
      <w:r>
        <w:rPr>
          <w:rFonts w:cs="Times New Roman" w:ascii="Times New Roman" w:hAnsi="Times New Roman"/>
          <w:sz w:val="28"/>
          <w:szCs w:val="28"/>
        </w:rPr>
        <w:t>9 822144</w:t>
      </w:r>
      <w:r>
        <w:rPr>
          <w:rFonts w:cs="Times New Roman" w:ascii="Times New Roman" w:hAnsi="Times New Roman"/>
          <w:sz w:val="28"/>
          <w:szCs w:val="28"/>
        </w:rPr>
        <w:t xml:space="preserve">  рублей, главным образом, на основании проекта закона о краевом бюджете и решения о районном бюджете.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Необходимо отметить, что распределение большого объема краевых средств производится в течение финансового года.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     </w:t>
      </w:r>
      <w:r>
        <w:rPr>
          <w:rFonts w:cs="Times New Roman" w:ascii="Times New Roman" w:hAnsi="Times New Roman"/>
          <w:sz w:val="28"/>
          <w:szCs w:val="28"/>
        </w:rPr>
        <w:t>Суммы безвозмездных поступлений на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и 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годы составят </w:t>
      </w:r>
      <w:r>
        <w:rPr>
          <w:rFonts w:cs="Times New Roman" w:ascii="Times New Roman" w:hAnsi="Times New Roman"/>
          <w:sz w:val="28"/>
          <w:szCs w:val="28"/>
        </w:rPr>
        <w:t>8 058 405,00</w:t>
      </w:r>
      <w:r>
        <w:rPr>
          <w:rFonts w:cs="Times New Roman" w:ascii="Times New Roman" w:hAnsi="Times New Roman"/>
          <w:sz w:val="28"/>
          <w:szCs w:val="28"/>
        </w:rPr>
        <w:t xml:space="preserve"> рублей и </w:t>
      </w:r>
      <w:r>
        <w:rPr>
          <w:rFonts w:cs="Times New Roman" w:ascii="Times New Roman" w:hAnsi="Times New Roman"/>
          <w:sz w:val="28"/>
          <w:szCs w:val="28"/>
        </w:rPr>
        <w:t>7 972 825,00</w:t>
      </w:r>
      <w:r>
        <w:rPr>
          <w:rFonts w:cs="Times New Roman" w:ascii="Times New Roman" w:hAnsi="Times New Roman"/>
          <w:sz w:val="28"/>
          <w:szCs w:val="28"/>
        </w:rPr>
        <w:t> рублей соответственно.</w:t>
      </w:r>
    </w:p>
    <w:p>
      <w:pPr>
        <w:pStyle w:val="1"/>
        <w:spacing w:before="0" w:after="200"/>
        <w:jc w:val="center"/>
        <w:rPr/>
      </w:pPr>
      <w:r>
        <w:rPr/>
      </w:r>
      <w:bookmarkStart w:id="78" w:name="_Toc369530799"/>
      <w:bookmarkStart w:id="79" w:name="_Toc369530799"/>
    </w:p>
    <w:p>
      <w:pPr>
        <w:pStyle w:val="1"/>
        <w:spacing w:before="0" w:after="200"/>
        <w:jc w:val="center"/>
        <w:rPr/>
      </w:pPr>
      <w:bookmarkStart w:id="80" w:name="_Toc369530799"/>
      <w:r>
        <w:rPr/>
        <w:t>2. РАСХОДЫ МЕСТНОГО БЮДЖЕТА на 2020 год и плановый период 2021-2022 годов</w:t>
      </w:r>
      <w:bookmarkEnd w:id="80"/>
    </w:p>
    <w:p>
      <w:pPr>
        <w:pStyle w:val="NoSpacing"/>
        <w:jc w:val="center"/>
        <w:rPr>
          <w:b/>
          <w:b/>
        </w:rPr>
      </w:pPr>
      <w:bookmarkStart w:id="81" w:name="_Toc369530801"/>
      <w:r>
        <w:rPr>
          <w:rFonts w:cs="Times New Roman" w:ascii="Times New Roman" w:hAnsi="Times New Roman"/>
          <w:b/>
          <w:sz w:val="28"/>
          <w:szCs w:val="28"/>
        </w:rPr>
        <w:t>2.1. Муниципальные программы</w:t>
      </w:r>
      <w:bookmarkEnd w:id="81"/>
    </w:p>
    <w:p>
      <w:pPr>
        <w:pStyle w:val="3"/>
        <w:ind w:firstLine="851"/>
        <w:jc w:val="both"/>
        <w:rPr/>
      </w:pPr>
      <w:r>
        <w:rPr/>
        <w:t>1. «Комплексные мероприятия по улучшению качества жизни и благосостояния населения на территории муниципального образования Балахтонский сельсовет Козульского района Красноярского края на 2020-2021 годы» (далее – программа)</w:t>
      </w:r>
    </w:p>
    <w:p>
      <w:pPr>
        <w:pStyle w:val="NoSpacing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На реализацию  программы в целом предусмотрены расходы в сумме </w:t>
      </w:r>
      <w:r>
        <w:rPr>
          <w:rFonts w:cs="Times New Roman" w:ascii="Times New Roman" w:hAnsi="Times New Roman"/>
          <w:sz w:val="28"/>
          <w:szCs w:val="28"/>
        </w:rPr>
        <w:t>2 121 113,67</w:t>
      </w:r>
      <w:r>
        <w:rPr>
          <w:rFonts w:cs="Times New Roman" w:ascii="Times New Roman" w:hAnsi="Times New Roman"/>
          <w:sz w:val="28"/>
          <w:szCs w:val="28"/>
        </w:rPr>
        <w:t> рублей на 2020 год.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Цель программы: улучшение качества жизни и благосостояния на территории муниципального образования Балахтонский сельсовет, снижение социальной напряженности.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Задачи программы: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Совершенствование системы комплексного благоустройства территории сельсовета.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2.Осуществление контроля над обеспечением сохранности автомобильных дорог местного значения.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3.Повышение эффективности использования энергетических ресурсов Балахтонского сельсовета.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4.Организация и реализация мер первичной пожарной безопасности, уменьшение человеческих и материальных потерь от пожаров.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5.Информационно-пропагандистскоесопровождениеантитеррористической деятельности на территории сельсовета.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Организация дополнительных рабочих мест для безработных граждан, нуждающихся в социальной поддержке и защите.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Бюджетные ассигнования на реализацию программы распределены между шестью подпрограммами следующим образом: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Таблица 2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руб.</w:t>
      </w:r>
    </w:p>
    <w:tbl>
      <w:tblPr>
        <w:tblW w:w="10225" w:type="dxa"/>
        <w:jc w:val="left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800"/>
        <w:gridCol w:w="1188"/>
        <w:gridCol w:w="1137"/>
        <w:gridCol w:w="1100"/>
      </w:tblGrid>
      <w:tr>
        <w:trPr>
          <w:trHeight w:val="670" w:hRule="atLeast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Наименование подпрограммы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2020 год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Cs w:val="28"/>
              </w:rPr>
              <w:t>202</w:t>
            </w:r>
            <w:r>
              <w:rPr>
                <w:rFonts w:cs="Times New Roman" w:ascii="Times New Roman" w:hAnsi="Times New Roman"/>
                <w:szCs w:val="28"/>
              </w:rPr>
              <w:t>1</w:t>
            </w:r>
            <w:r>
              <w:rPr>
                <w:rFonts w:cs="Times New Roman" w:ascii="Times New Roman" w:hAnsi="Times New Roman"/>
                <w:szCs w:val="28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Cs w:val="28"/>
              </w:rPr>
              <w:t>202</w:t>
            </w:r>
            <w:r>
              <w:rPr>
                <w:rFonts w:cs="Times New Roman" w:ascii="Times New Roman" w:hAnsi="Times New Roman"/>
                <w:szCs w:val="28"/>
              </w:rPr>
              <w:t>2</w:t>
            </w:r>
            <w:r>
              <w:rPr>
                <w:rFonts w:cs="Times New Roman" w:ascii="Times New Roman" w:hAnsi="Times New Roman"/>
                <w:szCs w:val="28"/>
              </w:rPr>
              <w:t xml:space="preserve"> год</w:t>
            </w:r>
          </w:p>
        </w:tc>
      </w:tr>
      <w:tr>
        <w:trPr>
          <w:trHeight w:val="630" w:hRule="atLeast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Благоустройство территории муниципального образования Балахтонский сельсовет Козульского района Красноярского края на 2020-202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917450,48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</w:rPr>
              <w:t>33235,71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</w:rPr>
              <w:t>235758,71</w:t>
            </w:r>
          </w:p>
        </w:tc>
      </w:tr>
      <w:tr>
        <w:trPr>
          <w:trHeight w:val="910" w:hRule="atLeast"/>
        </w:trPr>
        <w:tc>
          <w:tcPr>
            <w:tcW w:w="6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Модернизация, развитие и содержание автомобильных дорог общего пользования местного значения на территории Балахтонского сельсовета Козульского района Красноярского края на 2020-202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116 777,95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</w:rPr>
              <w:t>117 277,95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</w:rPr>
              <w:t>117277,95</w:t>
            </w:r>
          </w:p>
        </w:tc>
      </w:tr>
      <w:tr>
        <w:trPr>
          <w:trHeight w:val="976" w:hRule="atLeast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Энергосбережение и  повышение энергетической эффективности, ремонт и содержание сети наружного освещения улиц на территории Балахтонского сельсовета Козульского района Красноярского края на 2020-202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917450,48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sz w:val="20"/>
              </w:rPr>
              <w:t>33235,71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sz w:val="20"/>
              </w:rPr>
              <w:t>235758,71</w:t>
            </w:r>
          </w:p>
        </w:tc>
      </w:tr>
      <w:tr>
        <w:trPr>
          <w:trHeight w:val="630" w:hRule="atLeast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первичных мер пожарной безопасности на территории Балахтонского сельсовета Козульского района Красноярского края на 2020-202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765894,14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sz w:val="20"/>
              </w:rPr>
              <w:t>765894,147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sz w:val="20"/>
              </w:rPr>
              <w:t>765894,14</w:t>
            </w:r>
          </w:p>
        </w:tc>
      </w:tr>
      <w:tr>
        <w:trPr>
          <w:trHeight w:val="537" w:hRule="atLeast"/>
        </w:trPr>
        <w:tc>
          <w:tcPr>
            <w:tcW w:w="6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Содействие занятости населения  на территории Балахтонского сельсовета Козульского района Красноярского края на 2020 – 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15533,19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sz w:val="20"/>
              </w:rPr>
              <w:t>15533,19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sz w:val="20"/>
              </w:rPr>
              <w:t>15533,19</w:t>
            </w:r>
          </w:p>
        </w:tc>
      </w:tr>
      <w:tr>
        <w:trPr>
          <w:trHeight w:val="537" w:hRule="atLeast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Профилактика терроризма, экстремизма и трансфертной безопасности на территории муниципального образования Балахтонский сельсовет Козульского района красноярского края на 2020-2021 годы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5000,00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5000,00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5000,00</w:t>
            </w:r>
          </w:p>
        </w:tc>
      </w:tr>
    </w:tbl>
    <w:p>
      <w:pPr>
        <w:pStyle w:val="3"/>
        <w:numPr>
          <w:ilvl w:val="0"/>
          <w:numId w:val="4"/>
        </w:numPr>
        <w:tabs>
          <w:tab w:val="clear" w:pos="708"/>
          <w:tab w:val="left" w:pos="0" w:leader="none"/>
        </w:tabs>
        <w:ind w:left="0" w:firstLine="851"/>
        <w:jc w:val="center"/>
        <w:rPr/>
      </w:pPr>
      <w:r>
        <w:rPr/>
        <w:t>Осуществление переданных полномочий в области культуры и спорта» на 2020-202</w:t>
      </w:r>
      <w:r>
        <w:rPr/>
        <w:t>2</w:t>
      </w:r>
      <w:r>
        <w:rPr/>
        <w:t xml:space="preserve"> годы</w:t>
      </w:r>
    </w:p>
    <w:p>
      <w:pPr>
        <w:pStyle w:val="3"/>
        <w:jc w:val="both"/>
        <w:rPr/>
      </w:pPr>
      <w:r>
        <w:rPr>
          <w:b w:val="false"/>
        </w:rPr>
        <w:t xml:space="preserve">На реализацию  программы в целом предусмотрены расходы в сумме 6 028 466,96 рублей, в том числе по годам: в 2020 году – </w:t>
      </w:r>
      <w:r>
        <w:rPr>
          <w:b w:val="false"/>
        </w:rPr>
        <w:t>3 111 074,23</w:t>
      </w:r>
      <w:r>
        <w:rPr>
          <w:b w:val="false"/>
        </w:rPr>
        <w:t>  рублей,  в 202</w:t>
      </w:r>
      <w:r>
        <w:rPr>
          <w:b w:val="false"/>
        </w:rPr>
        <w:t>1</w:t>
      </w:r>
      <w:r>
        <w:rPr>
          <w:b w:val="false"/>
        </w:rPr>
        <w:t xml:space="preserve"> году – </w:t>
      </w:r>
      <w:r>
        <w:rPr>
          <w:b w:val="false"/>
        </w:rPr>
        <w:t>2 488 858,68</w:t>
      </w:r>
      <w:r>
        <w:rPr>
          <w:b w:val="false"/>
        </w:rPr>
        <w:t xml:space="preserve"> рублей, в 202</w:t>
      </w:r>
      <w:r>
        <w:rPr>
          <w:b w:val="false"/>
        </w:rPr>
        <w:t>2</w:t>
      </w:r>
      <w:r>
        <w:rPr>
          <w:b w:val="false"/>
        </w:rPr>
        <w:t xml:space="preserve"> году – </w:t>
      </w:r>
      <w:r>
        <w:rPr>
          <w:b w:val="false"/>
        </w:rPr>
        <w:t>2 488 858,68</w:t>
      </w:r>
      <w:r>
        <w:rPr>
          <w:b w:val="false"/>
        </w:rPr>
        <w:t xml:space="preserve">  рублей. </w:t>
      </w:r>
    </w:p>
    <w:p>
      <w:pPr>
        <w:pStyle w:val="3"/>
        <w:jc w:val="both"/>
        <w:rPr>
          <w:b w:val="false"/>
          <w:b w:val="false"/>
        </w:rPr>
      </w:pPr>
      <w:r>
        <w:rPr>
          <w:b w:val="false"/>
        </w:rPr>
        <w:t xml:space="preserve">Цель программы: </w:t>
      </w:r>
      <w:r>
        <w:rPr>
          <w:b w:val="false"/>
          <w:bCs/>
        </w:rPr>
        <w:t>обеспечение качественного предоставления услуг в области культуры и спорта на территории Балахтонского сельсовета.</w:t>
      </w:r>
      <w:r>
        <w:rPr>
          <w:b w:val="false"/>
        </w:rPr>
        <w:t xml:space="preserve">        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Задачи программы: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851" w:leader="none"/>
        </w:tabs>
        <w:spacing w:lineRule="auto" w:line="240" w:before="0" w:after="0"/>
        <w:ind w:left="0" w:right="34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Создание условий для организации досуга и обеспечения жителей сельсовета услугами организаций культуры;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851" w:leader="none"/>
        </w:tabs>
        <w:spacing w:lineRule="auto" w:line="240" w:before="0" w:after="0"/>
        <w:ind w:left="0" w:right="34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Создание условий и разработка механизма привлечения к занятиям физической культурой и массовым спортом всех категорий жителей Балахтонского сельсовета в независимости от  их возраста, материального или социального положения;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Бюджетные ассигнования на реализацию программы распределены следующим образом: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Таблица 3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Руб.</w:t>
      </w:r>
    </w:p>
    <w:tbl>
      <w:tblPr>
        <w:tblW w:w="9938" w:type="dxa"/>
        <w:jc w:val="left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25"/>
        <w:gridCol w:w="1475"/>
        <w:gridCol w:w="1363"/>
        <w:gridCol w:w="1375"/>
      </w:tblGrid>
      <w:tr>
        <w:trPr>
          <w:trHeight w:val="670" w:hRule="atLeast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Наименование передаваемых полномочий</w:t>
            </w:r>
          </w:p>
        </w:tc>
        <w:tc>
          <w:tcPr>
            <w:tcW w:w="1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2020 год</w:t>
            </w: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202</w:t>
            </w:r>
            <w:r>
              <w:rPr>
                <w:rFonts w:cs="Times New Roman" w:ascii="Times New Roman" w:hAnsi="Times New Roman"/>
                <w:sz w:val="24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202</w:t>
            </w:r>
            <w:r>
              <w:rPr>
                <w:rFonts w:cs="Times New Roman" w:ascii="Times New Roman" w:hAnsi="Times New Roman"/>
                <w:sz w:val="24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 год</w:t>
            </w:r>
          </w:p>
        </w:tc>
      </w:tr>
      <w:tr>
        <w:trPr>
          <w:trHeight w:val="367" w:hRule="atLeast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осуществление полномочий в области культуры</w:t>
            </w:r>
          </w:p>
        </w:tc>
        <w:tc>
          <w:tcPr>
            <w:tcW w:w="1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2739971,19</w:t>
            </w: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2191976,95</w:t>
            </w:r>
          </w:p>
        </w:tc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2191976,95</w:t>
            </w:r>
          </w:p>
        </w:tc>
      </w:tr>
      <w:tr>
        <w:trPr>
          <w:trHeight w:val="527" w:hRule="atLeast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осуществление полномочий в области физической культуры и спорта</w:t>
            </w:r>
          </w:p>
        </w:tc>
        <w:tc>
          <w:tcPr>
            <w:tcW w:w="14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271103,04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296882,43</w:t>
            </w: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296882,43</w:t>
            </w:r>
          </w:p>
        </w:tc>
      </w:tr>
    </w:tbl>
    <w:p>
      <w:pPr>
        <w:pStyle w:val="2"/>
        <w:rPr/>
      </w:pPr>
      <w:bookmarkStart w:id="82" w:name="_Toc369530769"/>
      <w:bookmarkStart w:id="83" w:name="_Toc337909483"/>
      <w:bookmarkStart w:id="84" w:name="_Toc211614067"/>
      <w:bookmarkStart w:id="85" w:name="_Toc148280017"/>
      <w:bookmarkStart w:id="86" w:name="_Toc148279882"/>
      <w:bookmarkStart w:id="87" w:name="_Toc148262144"/>
      <w:bookmarkStart w:id="88" w:name="_Toc148261009"/>
      <w:bookmarkStart w:id="89" w:name="_Toc148260930"/>
      <w:bookmarkStart w:id="90" w:name="_Toc117051443"/>
      <w:bookmarkStart w:id="91" w:name="_Toc116994704"/>
      <w:bookmarkStart w:id="92" w:name="_Toc369530822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>
        <w:rPr/>
        <w:t xml:space="preserve">2.3. </w:t>
      </w:r>
      <w:bookmarkEnd w:id="92"/>
      <w:r>
        <w:rPr/>
        <w:t>НЕПРОГРАММНЫЕ МЕРОПРИЯТИЯ</w:t>
      </w:r>
    </w:p>
    <w:p>
      <w:pPr>
        <w:pStyle w:val="3"/>
        <w:ind w:firstLine="851"/>
        <w:rPr/>
      </w:pPr>
      <w:bookmarkStart w:id="93" w:name="_Toc369530823"/>
      <w:bookmarkStart w:id="94" w:name="_Toc337989440"/>
      <w:r>
        <w:rPr/>
        <w:t>2.3.1. Общегосударственные вопросы (раздел 01)</w:t>
      </w:r>
      <w:bookmarkEnd w:id="93"/>
      <w:bookmarkEnd w:id="94"/>
    </w:p>
    <w:p>
      <w:pPr>
        <w:pStyle w:val="3"/>
        <w:ind w:firstLine="851"/>
        <w:jc w:val="both"/>
        <w:rPr>
          <w:b w:val="false"/>
          <w:b w:val="false"/>
        </w:rPr>
      </w:pPr>
      <w:r>
        <w:rPr>
          <w:rFonts w:eastAsia="Calibri"/>
          <w:b w:val="false"/>
        </w:rPr>
        <w:t xml:space="preserve">Проектом решения  в целом по разделу предусматриваются </w:t>
      </w:r>
      <w:r>
        <w:rPr>
          <w:b w:val="false"/>
        </w:rPr>
        <w:t>по подразделам: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Подраздел 0</w:t>
      </w: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: на функционирование высшего должностного лица субъекта РФ муниципального образования  </w:t>
      </w:r>
      <w:r>
        <w:rPr>
          <w:rFonts w:cs="Times New Roman" w:ascii="Times New Roman" w:hAnsi="Times New Roman"/>
          <w:sz w:val="28"/>
          <w:szCs w:val="28"/>
        </w:rPr>
        <w:t>2 281 653,99</w:t>
      </w:r>
      <w:r>
        <w:rPr>
          <w:rFonts w:cs="Times New Roman" w:ascii="Times New Roman" w:hAnsi="Times New Roman"/>
          <w:sz w:val="28"/>
          <w:szCs w:val="28"/>
        </w:rPr>
        <w:t xml:space="preserve"> руб., в том числе на 2020г – </w:t>
      </w:r>
      <w:r>
        <w:rPr>
          <w:rFonts w:cs="Times New Roman" w:ascii="Times New Roman" w:hAnsi="Times New Roman"/>
          <w:sz w:val="28"/>
          <w:szCs w:val="28"/>
        </w:rPr>
        <w:t>760 551,33</w:t>
      </w:r>
      <w:r>
        <w:rPr>
          <w:rFonts w:cs="Times New Roman" w:ascii="Times New Roman" w:hAnsi="Times New Roman"/>
          <w:sz w:val="28"/>
          <w:szCs w:val="28"/>
        </w:rPr>
        <w:t xml:space="preserve">  рублей, на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г – </w:t>
      </w:r>
      <w:r>
        <w:rPr>
          <w:rFonts w:cs="Times New Roman" w:ascii="Times New Roman" w:hAnsi="Times New Roman"/>
          <w:sz w:val="28"/>
          <w:szCs w:val="28"/>
        </w:rPr>
        <w:t>760 551,33</w:t>
      </w:r>
      <w:r>
        <w:rPr>
          <w:rFonts w:cs="Times New Roman" w:ascii="Times New Roman" w:hAnsi="Times New Roman"/>
          <w:sz w:val="28"/>
          <w:szCs w:val="28"/>
        </w:rPr>
        <w:t xml:space="preserve"> руб., на 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 – </w:t>
      </w:r>
      <w:r>
        <w:rPr>
          <w:rFonts w:cs="Times New Roman" w:ascii="Times New Roman" w:hAnsi="Times New Roman"/>
          <w:sz w:val="28"/>
          <w:szCs w:val="28"/>
        </w:rPr>
        <w:t>760 551,33</w:t>
      </w:r>
      <w:r>
        <w:rPr>
          <w:rFonts w:cs="Times New Roman" w:ascii="Times New Roman" w:hAnsi="Times New Roman"/>
          <w:sz w:val="28"/>
          <w:szCs w:val="28"/>
        </w:rPr>
        <w:t xml:space="preserve"> руб.;</w:t>
      </w:r>
    </w:p>
    <w:p>
      <w:pPr>
        <w:pStyle w:val="Style17"/>
        <w:ind w:firstLine="851"/>
        <w:rPr/>
      </w:pPr>
      <w:r>
        <w:rPr>
          <w:b/>
          <w:szCs w:val="28"/>
        </w:rPr>
        <w:t>Подраздел 03</w:t>
      </w:r>
      <w:r>
        <w:rPr>
          <w:szCs w:val="28"/>
        </w:rPr>
        <w:t xml:space="preserve">: на функционирование  законодательных (представительных) органов государственной власти и представительных органов  местного самоуправления 1 822 923,33  тыс. рублей, в том числе на 2020 г – </w:t>
      </w:r>
      <w:r>
        <w:rPr>
          <w:szCs w:val="28"/>
        </w:rPr>
        <w:t>635 212,79</w:t>
      </w:r>
      <w:r>
        <w:rPr>
          <w:szCs w:val="28"/>
        </w:rPr>
        <w:t xml:space="preserve"> руб., на 202</w:t>
      </w:r>
      <w:r>
        <w:rPr>
          <w:szCs w:val="28"/>
        </w:rPr>
        <w:t>1</w:t>
      </w:r>
      <w:r>
        <w:rPr>
          <w:szCs w:val="28"/>
        </w:rPr>
        <w:t xml:space="preserve">г – </w:t>
      </w:r>
      <w:r>
        <w:rPr>
          <w:szCs w:val="28"/>
        </w:rPr>
        <w:t>635 212,79</w:t>
      </w:r>
      <w:r>
        <w:rPr>
          <w:szCs w:val="28"/>
        </w:rPr>
        <w:t xml:space="preserve"> руб., на 202</w:t>
      </w:r>
      <w:r>
        <w:rPr>
          <w:szCs w:val="28"/>
        </w:rPr>
        <w:t>2</w:t>
      </w:r>
      <w:r>
        <w:rPr>
          <w:szCs w:val="28"/>
        </w:rPr>
        <w:t xml:space="preserve"> г – </w:t>
      </w:r>
      <w:r>
        <w:rPr>
          <w:szCs w:val="28"/>
        </w:rPr>
        <w:t>635 212,79</w:t>
      </w:r>
      <w:r>
        <w:rPr>
          <w:szCs w:val="28"/>
        </w:rPr>
        <w:t xml:space="preserve"> руб.;</w:t>
      </w:r>
    </w:p>
    <w:p>
      <w:pPr>
        <w:pStyle w:val="Style17"/>
        <w:ind w:firstLine="851"/>
        <w:rPr/>
      </w:pPr>
      <w:r>
        <w:rPr>
          <w:b/>
          <w:szCs w:val="28"/>
        </w:rPr>
        <w:t>Подраздел 04</w:t>
      </w:r>
      <w:r>
        <w:rPr>
          <w:szCs w:val="28"/>
        </w:rPr>
        <w:t xml:space="preserve">: на функционирование аппарата управления муниципального образования </w:t>
      </w:r>
      <w:r>
        <w:rPr>
          <w:szCs w:val="28"/>
        </w:rPr>
        <w:t>9 260 217,65</w:t>
      </w:r>
      <w:r>
        <w:rPr>
          <w:szCs w:val="28"/>
        </w:rPr>
        <w:t xml:space="preserve">  тыс. руб., в том числе на 2020 г – </w:t>
      </w:r>
      <w:r>
        <w:rPr>
          <w:szCs w:val="28"/>
        </w:rPr>
        <w:t>2 995 593,55</w:t>
      </w:r>
      <w:r>
        <w:rPr>
          <w:szCs w:val="28"/>
        </w:rPr>
        <w:t xml:space="preserve"> рублей, на 202</w:t>
      </w:r>
      <w:r>
        <w:rPr>
          <w:szCs w:val="28"/>
        </w:rPr>
        <w:t>1</w:t>
      </w:r>
      <w:r>
        <w:rPr>
          <w:szCs w:val="28"/>
        </w:rPr>
        <w:t xml:space="preserve"> г – </w:t>
      </w:r>
      <w:r>
        <w:rPr>
          <w:szCs w:val="28"/>
        </w:rPr>
        <w:t>3 132 312,05</w:t>
      </w:r>
      <w:r>
        <w:rPr>
          <w:szCs w:val="28"/>
        </w:rPr>
        <w:t xml:space="preserve"> руб., на 202</w:t>
      </w:r>
      <w:r>
        <w:rPr>
          <w:szCs w:val="28"/>
        </w:rPr>
        <w:t>2</w:t>
      </w:r>
      <w:r>
        <w:rPr>
          <w:szCs w:val="28"/>
        </w:rPr>
        <w:t xml:space="preserve"> г – </w:t>
      </w:r>
      <w:r>
        <w:rPr>
          <w:szCs w:val="28"/>
        </w:rPr>
        <w:t>3 132 312,05</w:t>
      </w:r>
      <w:r>
        <w:rPr>
          <w:szCs w:val="28"/>
        </w:rPr>
        <w:t xml:space="preserve"> руб.;</w:t>
      </w:r>
    </w:p>
    <w:p>
      <w:pPr>
        <w:pStyle w:val="Style17"/>
        <w:ind w:firstLine="851"/>
        <w:rPr/>
      </w:pPr>
      <w:r>
        <w:rPr>
          <w:szCs w:val="28"/>
        </w:rPr>
        <w:t>-на выполнение государственных полномочий по составлению протоколов об административных правонарушениях 7,71 тыс. рублей, в том числе на 2020г – 3050,00 рублей, на 202</w:t>
      </w:r>
      <w:r>
        <w:rPr>
          <w:szCs w:val="28"/>
        </w:rPr>
        <w:t>1</w:t>
      </w:r>
      <w:r>
        <w:rPr>
          <w:szCs w:val="28"/>
        </w:rPr>
        <w:t xml:space="preserve"> г – 3050,00 руб., на 202</w:t>
      </w:r>
      <w:r>
        <w:rPr>
          <w:szCs w:val="28"/>
        </w:rPr>
        <w:t>2</w:t>
      </w:r>
      <w:r>
        <w:rPr>
          <w:szCs w:val="28"/>
        </w:rPr>
        <w:t xml:space="preserve"> г – 3050,00 руб.;</w:t>
      </w:r>
    </w:p>
    <w:p>
      <w:pPr>
        <w:pStyle w:val="Style17"/>
        <w:ind w:firstLine="851"/>
        <w:rPr/>
      </w:pPr>
      <w:bookmarkStart w:id="95" w:name="OLE_LINK2"/>
      <w:bookmarkStart w:id="96" w:name="OLE_LINK3"/>
      <w:r>
        <w:rPr>
          <w:b/>
          <w:szCs w:val="28"/>
        </w:rPr>
        <w:t>Подраздел 11</w:t>
      </w:r>
      <w:r>
        <w:rPr>
          <w:szCs w:val="28"/>
        </w:rPr>
        <w:t>: на создание резервного фонда местной администрации 30,0 тыс. руб., в том числе на 2020г – 10 000,00 рублей, на 202</w:t>
      </w:r>
      <w:r>
        <w:rPr>
          <w:szCs w:val="28"/>
        </w:rPr>
        <w:t>1</w:t>
      </w:r>
      <w:r>
        <w:rPr>
          <w:szCs w:val="28"/>
        </w:rPr>
        <w:t>г – 10 000,00 руб., на 202</w:t>
      </w:r>
      <w:r>
        <w:rPr>
          <w:szCs w:val="28"/>
        </w:rPr>
        <w:t>2</w:t>
      </w:r>
      <w:r>
        <w:rPr>
          <w:szCs w:val="28"/>
        </w:rPr>
        <w:t xml:space="preserve"> г – 10,0 тыс. руб., что не превышает установленного ограничения в размере 3 процентов расходов бюджета.</w:t>
      </w:r>
      <w:bookmarkStart w:id="97" w:name="_Toc369530831"/>
      <w:bookmarkStart w:id="98" w:name="_Toc337989455"/>
      <w:bookmarkEnd w:id="95"/>
      <w:bookmarkEnd w:id="96"/>
    </w:p>
    <w:p>
      <w:pPr>
        <w:pStyle w:val="3"/>
        <w:ind w:firstLine="851"/>
        <w:jc w:val="center"/>
        <w:rPr/>
      </w:pPr>
      <w:r>
        <w:rPr/>
        <w:t>2.3.2. Национальная оборона (раздел 02)</w:t>
      </w:r>
      <w:bookmarkEnd w:id="97"/>
      <w:bookmarkEnd w:id="98"/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9" w:name="_Toc369530832"/>
      <w:bookmarkStart w:id="100" w:name="_Toc337989456"/>
      <w:r>
        <w:rPr>
          <w:rFonts w:cs="Times New Roman" w:ascii="Times New Roman" w:hAnsi="Times New Roman"/>
          <w:sz w:val="28"/>
          <w:szCs w:val="28"/>
        </w:rPr>
        <w:t>Мобилизационная и вневойсковая подготовка (подраздел 03)</w:t>
      </w:r>
      <w:bookmarkEnd w:id="99"/>
      <w:bookmarkEnd w:id="100"/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Spacing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Ассигнования на осуществление полномочий по первичному воинскому учету на территориях, где отсутствуют военные комиссариаты, за счет средств, поступающих из федерального бюджета, в 2020году предусматриваются в сумме </w:t>
      </w:r>
      <w:r>
        <w:rPr>
          <w:rFonts w:cs="Times New Roman" w:ascii="Times New Roman" w:hAnsi="Times New Roman"/>
          <w:sz w:val="28"/>
          <w:szCs w:val="28"/>
        </w:rPr>
        <w:t>85270,00</w:t>
      </w:r>
      <w:r>
        <w:rPr>
          <w:rFonts w:cs="Times New Roman" w:ascii="Times New Roman" w:hAnsi="Times New Roman"/>
          <w:sz w:val="28"/>
          <w:szCs w:val="28"/>
        </w:rPr>
        <w:t> рублей, на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 – </w:t>
      </w:r>
      <w:r>
        <w:rPr>
          <w:rFonts w:cs="Times New Roman" w:ascii="Times New Roman" w:hAnsi="Times New Roman"/>
          <w:sz w:val="28"/>
          <w:szCs w:val="28"/>
        </w:rPr>
        <w:t>86 140,00</w:t>
      </w:r>
      <w:r>
        <w:rPr>
          <w:rFonts w:cs="Times New Roman" w:ascii="Times New Roman" w:hAnsi="Times New Roman"/>
          <w:sz w:val="28"/>
          <w:szCs w:val="28"/>
        </w:rPr>
        <w:t xml:space="preserve"> рублей, в 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году – 0,00 руб.</w:t>
      </w:r>
      <w:bookmarkStart w:id="101" w:name="_Toc369530843"/>
    </w:p>
    <w:p>
      <w:pPr>
        <w:pStyle w:val="2"/>
        <w:ind w:firstLine="851"/>
        <w:rPr/>
      </w:pPr>
      <w:r>
        <w:rPr/>
        <w:t>3. ИСТОЧНИКИ ФИНАНСИРОВАНИЯ ДЕФИЦИТА БЮДЖЕТА</w:t>
      </w:r>
      <w:bookmarkEnd w:id="101"/>
    </w:p>
    <w:p>
      <w:pPr>
        <w:pStyle w:val="Style17"/>
        <w:ind w:firstLine="851"/>
        <w:rPr>
          <w:szCs w:val="28"/>
        </w:rPr>
      </w:pPr>
      <w:r>
        <w:rPr>
          <w:szCs w:val="28"/>
        </w:rPr>
        <w:t>Проектом решения сельсовета предлагается источники финансирования дефицита бюджета формировать в размере остатков на счетах согласно приложению №1 к проекту решения.</w:t>
      </w:r>
    </w:p>
    <w:p>
      <w:pPr>
        <w:pStyle w:val="Normal"/>
        <w:spacing w:lineRule="auto" w:line="240" w:before="0" w:after="0"/>
        <w:ind w:firstLine="851"/>
        <w:rPr/>
      </w:pPr>
      <w:r>
        <w:rPr/>
      </w:r>
    </w:p>
    <w:sectPr>
      <w:type w:val="nextPage"/>
      <w:pgSz w:w="11906" w:h="16838"/>
      <w:pgMar w:left="1134" w:right="851" w:header="0" w:top="567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</w:lvl>
    <w:lvl w:ilvl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964"/>
        </w:tabs>
        <w:ind w:left="0" w:hanging="-72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1070" w:hanging="360"/>
      </w:pPr>
      <w:rPr>
        <w:sz w:val="28"/>
        <w:b/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365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413650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413650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mallCaps/>
      <w:sz w:val="28"/>
      <w:szCs w:val="28"/>
      <w:lang w:eastAsia="ru-RU"/>
    </w:rPr>
  </w:style>
  <w:style w:type="paragraph" w:styleId="3">
    <w:name w:val="Heading 3"/>
    <w:basedOn w:val="Normal"/>
    <w:next w:val="Normal"/>
    <w:link w:val="30"/>
    <w:qFormat/>
    <w:rsid w:val="00413650"/>
    <w:pPr>
      <w:spacing w:lineRule="auto" w:line="240" w:before="0" w:after="0"/>
      <w:ind w:firstLine="720"/>
      <w:outlineLvl w:val="2"/>
    </w:pPr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1365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qFormat/>
    <w:rsid w:val="00413650"/>
    <w:rPr>
      <w:rFonts w:ascii="Times New Roman" w:hAnsi="Times New Roman" w:eastAsia="Times New Roman" w:cs="Times New Roman"/>
      <w:b/>
      <w:smallCaps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413650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Style11" w:customStyle="1">
    <w:name w:val="Основной текст с отступом Знак"/>
    <w:basedOn w:val="DefaultParagraphFont"/>
    <w:link w:val="a3"/>
    <w:uiPriority w:val="99"/>
    <w:semiHidden/>
    <w:qFormat/>
    <w:rsid w:val="00413650"/>
    <w:rPr/>
  </w:style>
  <w:style w:type="character" w:styleId="12" w:customStyle="1">
    <w:name w:val="Основной текст с отступом Знак1"/>
    <w:basedOn w:val="DefaultParagraphFont"/>
    <w:link w:val="a3"/>
    <w:qFormat/>
    <w:rsid w:val="0041365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ConsPlusNormal" w:customStyle="1">
    <w:name w:val="ConsPlusNormal Знак"/>
    <w:basedOn w:val="DefaultParagraphFont"/>
    <w:link w:val="ConsPlusNormal"/>
    <w:qFormat/>
    <w:locked/>
    <w:rsid w:val="00413650"/>
    <w:rPr>
      <w:rFonts w:ascii="Arial" w:hAnsi="Arial" w:eastAsia="Times New Roman" w:cs="Arial"/>
      <w:sz w:val="20"/>
      <w:szCs w:val="20"/>
      <w:lang w:eastAsia="ru-RU"/>
    </w:rPr>
  </w:style>
  <w:style w:type="character" w:styleId="Wmicallto" w:customStyle="1">
    <w:name w:val="wmi-callto"/>
    <w:basedOn w:val="DefaultParagraphFont"/>
    <w:qFormat/>
    <w:rsid w:val="00d505e4"/>
    <w:rPr/>
  </w:style>
  <w:style w:type="character" w:styleId="Strong">
    <w:name w:val="Strong"/>
    <w:basedOn w:val="DefaultParagraphFont"/>
    <w:uiPriority w:val="22"/>
    <w:qFormat/>
    <w:rsid w:val="00d505e4"/>
    <w:rPr>
      <w:b/>
      <w:bCs/>
    </w:rPr>
  </w:style>
  <w:style w:type="character" w:styleId="ListLabel1">
    <w:name w:val="ListLabel 1"/>
    <w:qFormat/>
    <w:rPr>
      <w:rFonts w:ascii="Times New Roman" w:hAnsi="Times New Roman" w:cs="Times New Roman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Times New Roman" w:hAnsi="Times New Roman" w:eastAsia="Calibri" w:cs="Times New Roman"/>
      <w:b/>
      <w:sz w:val="28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Body Text Indent"/>
    <w:basedOn w:val="Normal"/>
    <w:link w:val="11"/>
    <w:rsid w:val="00413650"/>
    <w:pPr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NoSpacing">
    <w:name w:val="No Spacing"/>
    <w:uiPriority w:val="1"/>
    <w:qFormat/>
    <w:rsid w:val="0041365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8" w:customStyle="1">
    <w:name w:val="Мой стиль Знак Знак"/>
    <w:basedOn w:val="Normal"/>
    <w:semiHidden/>
    <w:qFormat/>
    <w:rsid w:val="00413650"/>
    <w:pPr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ConsPlusCell" w:customStyle="1">
    <w:name w:val="ConsPlusCell"/>
    <w:qFormat/>
    <w:rsid w:val="00413650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Normal1" w:customStyle="1">
    <w:name w:val="ConsPlusNormal"/>
    <w:link w:val="ConsPlusNormal0"/>
    <w:qFormat/>
    <w:rsid w:val="00413650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4f52d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Application>LibreOffice/6.1.4.2$Windows_x86 LibreOffice_project/9d0f32d1f0b509096fd65e0d4bec26ddd1938fd3</Application>
  <Pages>6</Pages>
  <Words>1876</Words>
  <Characters>12141</Characters>
  <CharactersWithSpaces>14102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2018-10-25T07:26:00Z</dcterms:created>
  <dc:creator>Сельсовет</dc:creator>
  <dc:description/>
  <dc:language>ru-RU</dc:language>
  <cp:lastModifiedBy/>
  <cp:lastPrinted>2016-03-25T04:34:00Z</cp:lastPrinted>
  <dcterms:modified xsi:type="dcterms:W3CDTF">2019-11-13T16:34:25Z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